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center"/>
        <w:rPr>
          <w:rFonts w:ascii="normal" w:hAnsi="normal" w:eastAsia="normal" w:cs="normal"/>
          <w:b w:val="0"/>
          <w:i w:val="0"/>
          <w:caps w:val="0"/>
          <w:color w:val="585858"/>
          <w:spacing w:val="0"/>
          <w:sz w:val="21"/>
          <w:szCs w:val="21"/>
        </w:rPr>
      </w:pPr>
      <w:r>
        <w:rPr>
          <w:rStyle w:val="4"/>
          <w:rFonts w:hint="default" w:ascii="normal" w:hAnsi="normal" w:eastAsia="normal" w:cs="normal"/>
          <w:i w:val="0"/>
          <w:caps w:val="0"/>
          <w:color w:val="585858"/>
          <w:spacing w:val="0"/>
          <w:sz w:val="21"/>
          <w:szCs w:val="21"/>
          <w:bdr w:val="none" w:color="auto" w:sz="0" w:space="0"/>
        </w:rPr>
        <w:t>2017年顺德区公办中小学教师招聘工作日程安排表</w:t>
      </w:r>
      <w:bookmarkStart w:id="0" w:name="_GoBack"/>
      <w:bookmarkEnd w:id="0"/>
    </w:p>
    <w:tbl>
      <w:tblPr>
        <w:tblW w:w="10497" w:type="dxa"/>
        <w:jc w:val="center"/>
        <w:tblCellSpacing w:w="7" w:type="dxa"/>
        <w:tblInd w:w="-10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CCCCC"/>
        <w:tblLayout w:type="fixed"/>
        <w:tblCellMar>
          <w:top w:w="0" w:type="dxa"/>
          <w:left w:w="0" w:type="dxa"/>
          <w:bottom w:w="0" w:type="dxa"/>
          <w:right w:w="0" w:type="dxa"/>
        </w:tblCellMar>
      </w:tblPr>
      <w:tblGrid>
        <w:gridCol w:w="307"/>
        <w:gridCol w:w="300"/>
        <w:gridCol w:w="497"/>
        <w:gridCol w:w="5754"/>
        <w:gridCol w:w="3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0" w:hRule="atLeast"/>
          <w:tblCellSpacing w:w="7" w:type="dxa"/>
          <w:jc w:val="center"/>
        </w:trPr>
        <w:tc>
          <w:tcPr>
            <w:tcW w:w="286" w:type="dxa"/>
            <w:tcBorders>
              <w:tl2br w:val="nil"/>
              <w:tr2bl w:val="nil"/>
            </w:tcBorders>
            <w:shd w:val="clear" w:color="auto" w:fill="EFEFEF"/>
            <w:vAlign w:val="center"/>
          </w:tcPr>
          <w:p>
            <w:pPr>
              <w:keepNext w:val="0"/>
              <w:keepLines w:val="0"/>
              <w:widowControl/>
              <w:suppressLineNumbers w:val="0"/>
              <w:shd w:val="clear" w:fill="EFEFEF"/>
              <w:spacing w:before="0" w:beforeAutospacing="0" w:after="0" w:afterAutospacing="0"/>
              <w:ind w:left="0" w:right="0"/>
              <w:jc w:val="center"/>
              <w:rPr>
                <w:b/>
              </w:rPr>
            </w:pPr>
            <w:r>
              <w:rPr>
                <w:rFonts w:ascii="宋体" w:hAnsi="宋体" w:eastAsia="宋体" w:cs="宋体"/>
                <w:b/>
                <w:kern w:val="0"/>
                <w:sz w:val="24"/>
                <w:szCs w:val="24"/>
                <w:bdr w:val="none" w:color="auto" w:sz="0" w:space="0"/>
                <w:lang w:val="en-US" w:eastAsia="zh-CN" w:bidi="ar"/>
              </w:rPr>
              <w:t>类别</w:t>
            </w:r>
          </w:p>
        </w:tc>
        <w:tc>
          <w:tcPr>
            <w:tcW w:w="288" w:type="dxa"/>
            <w:tcBorders>
              <w:tl2br w:val="nil"/>
              <w:tr2bl w:val="nil"/>
            </w:tcBorders>
            <w:shd w:val="clear" w:color="auto" w:fill="EFEFEF"/>
            <w:vAlign w:val="center"/>
          </w:tcPr>
          <w:p>
            <w:pPr>
              <w:keepNext w:val="0"/>
              <w:keepLines w:val="0"/>
              <w:widowControl/>
              <w:suppressLineNumbers w:val="0"/>
              <w:shd w:val="clear" w:fill="EFEFEF"/>
              <w:spacing w:before="0" w:beforeAutospacing="0" w:after="0" w:afterAutospacing="0"/>
              <w:ind w:left="0" w:right="0"/>
              <w:jc w:val="center"/>
              <w:rPr>
                <w:b/>
              </w:rPr>
            </w:pPr>
            <w:r>
              <w:rPr>
                <w:rFonts w:ascii="宋体" w:hAnsi="宋体" w:eastAsia="宋体" w:cs="宋体"/>
                <w:b/>
                <w:kern w:val="0"/>
                <w:sz w:val="24"/>
                <w:szCs w:val="24"/>
                <w:bdr w:val="none" w:color="auto" w:sz="0" w:space="0"/>
                <w:lang w:val="en-US" w:eastAsia="zh-CN" w:bidi="ar"/>
              </w:rPr>
              <w:t>编号</w:t>
            </w:r>
          </w:p>
        </w:tc>
        <w:tc>
          <w:tcPr>
            <w:tcW w:w="485" w:type="dxa"/>
            <w:tcBorders>
              <w:tl2br w:val="nil"/>
              <w:tr2bl w:val="nil"/>
            </w:tcBorders>
            <w:shd w:val="clear" w:color="auto" w:fill="EFEFEF"/>
            <w:vAlign w:val="center"/>
          </w:tcPr>
          <w:p>
            <w:pPr>
              <w:keepNext w:val="0"/>
              <w:keepLines w:val="0"/>
              <w:widowControl/>
              <w:suppressLineNumbers w:val="0"/>
              <w:shd w:val="clear" w:fill="EFEFEF"/>
              <w:spacing w:before="0" w:beforeAutospacing="0" w:after="0" w:afterAutospacing="0"/>
              <w:ind w:left="0" w:right="0"/>
              <w:jc w:val="center"/>
              <w:rPr>
                <w:b/>
              </w:rPr>
            </w:pPr>
            <w:r>
              <w:rPr>
                <w:rFonts w:ascii="宋体" w:hAnsi="宋体" w:eastAsia="宋体" w:cs="宋体"/>
                <w:b/>
                <w:kern w:val="0"/>
                <w:sz w:val="24"/>
                <w:szCs w:val="24"/>
                <w:bdr w:val="none" w:color="auto" w:sz="0" w:space="0"/>
                <w:lang w:val="en-US" w:eastAsia="zh-CN" w:bidi="ar"/>
              </w:rPr>
              <w:t>项目</w:t>
            </w:r>
          </w:p>
        </w:tc>
        <w:tc>
          <w:tcPr>
            <w:tcW w:w="5742" w:type="dxa"/>
            <w:tcBorders>
              <w:tl2br w:val="nil"/>
              <w:tr2bl w:val="nil"/>
            </w:tcBorders>
            <w:shd w:val="clear" w:color="auto" w:fill="EFEFEF"/>
            <w:vAlign w:val="center"/>
          </w:tcPr>
          <w:p>
            <w:pPr>
              <w:keepNext w:val="0"/>
              <w:keepLines w:val="0"/>
              <w:widowControl/>
              <w:suppressLineNumbers w:val="0"/>
              <w:shd w:val="clear" w:fill="EFEFEF"/>
              <w:spacing w:before="0" w:beforeAutospacing="0" w:after="0" w:afterAutospacing="0"/>
              <w:ind w:left="0" w:right="0"/>
              <w:jc w:val="center"/>
              <w:rPr>
                <w:b/>
              </w:rPr>
            </w:pPr>
            <w:r>
              <w:rPr>
                <w:rFonts w:ascii="宋体" w:hAnsi="宋体" w:eastAsia="宋体" w:cs="宋体"/>
                <w:b/>
                <w:kern w:val="0"/>
                <w:sz w:val="24"/>
                <w:szCs w:val="24"/>
                <w:bdr w:val="none" w:color="auto" w:sz="0" w:space="0"/>
                <w:lang w:val="en-US" w:eastAsia="zh-CN" w:bidi="ar"/>
              </w:rPr>
              <w:t>内容和要求</w:t>
            </w:r>
          </w:p>
        </w:tc>
        <w:tc>
          <w:tcPr>
            <w:tcW w:w="3618" w:type="dxa"/>
            <w:tcBorders>
              <w:tl2br w:val="nil"/>
              <w:tr2bl w:val="nil"/>
            </w:tcBorders>
            <w:shd w:val="clear" w:color="auto" w:fill="EFEFEF"/>
            <w:vAlign w:val="center"/>
          </w:tcPr>
          <w:p>
            <w:pPr>
              <w:keepNext w:val="0"/>
              <w:keepLines w:val="0"/>
              <w:widowControl/>
              <w:suppressLineNumbers w:val="0"/>
              <w:shd w:val="clear" w:fill="EFEFEF"/>
              <w:spacing w:before="0" w:beforeAutospacing="0" w:after="0" w:afterAutospacing="0"/>
              <w:ind w:left="0" w:right="0"/>
              <w:jc w:val="center"/>
              <w:rPr>
                <w:b/>
              </w:rPr>
            </w:pPr>
            <w:r>
              <w:rPr>
                <w:rFonts w:ascii="宋体" w:hAnsi="宋体" w:eastAsia="宋体" w:cs="宋体"/>
                <w:b/>
                <w:kern w:val="0"/>
                <w:sz w:val="24"/>
                <w:szCs w:val="24"/>
                <w:bdr w:val="none" w:color="auto" w:sz="0" w:space="0"/>
                <w:lang w:val="en-US" w:eastAsia="zh-CN" w:bidi="ar"/>
              </w:rPr>
              <w:t>时间安排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CCCCC"/>
          <w:tblLayout w:type="fixed"/>
        </w:tblPrEx>
        <w:trPr>
          <w:tblCellSpacing w:w="7" w:type="dxa"/>
          <w:jc w:val="center"/>
        </w:trPr>
        <w:tc>
          <w:tcPr>
            <w:tcW w:w="286" w:type="dxa"/>
            <w:vMerge w:val="restart"/>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面</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向</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社</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会</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公</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开</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招</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聘</w:t>
            </w:r>
          </w:p>
        </w:tc>
        <w:tc>
          <w:tcPr>
            <w:tcW w:w="28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1</w:t>
            </w:r>
          </w:p>
        </w:tc>
        <w:tc>
          <w:tcPr>
            <w:tcW w:w="485"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发</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布招</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聘</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公</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告</w:t>
            </w:r>
          </w:p>
        </w:tc>
        <w:tc>
          <w:tcPr>
            <w:tcW w:w="5742"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招聘学校制定招聘公告，经镇（街道）教育局审核后报区教育局审批，由区教育局集中在顺德教育信息网的教师公开招聘区域发布招聘公告，各 镇（街道）设置链接。</w:t>
            </w:r>
          </w:p>
        </w:tc>
        <w:tc>
          <w:tcPr>
            <w:tcW w:w="361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2016年11月28日-12月9日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CCCCC"/>
          <w:tblLayout w:type="fixed"/>
          <w:tblCellMar>
            <w:top w:w="0" w:type="dxa"/>
            <w:left w:w="0" w:type="dxa"/>
            <w:bottom w:w="0" w:type="dxa"/>
            <w:right w:w="0" w:type="dxa"/>
          </w:tblCellMar>
        </w:tblPrEx>
        <w:trPr>
          <w:tblCellSpacing w:w="7" w:type="dxa"/>
          <w:jc w:val="center"/>
        </w:trPr>
        <w:tc>
          <w:tcPr>
            <w:tcW w:w="286" w:type="dxa"/>
            <w:vMerge w:val="continue"/>
            <w:tcBorders>
              <w:tl2br w:val="nil"/>
              <w:tr2bl w:val="nil"/>
            </w:tcBorders>
            <w:shd w:val="clear" w:color="auto" w:fill="FFFFFF"/>
            <w:vAlign w:val="center"/>
          </w:tcPr>
          <w:p>
            <w:pPr>
              <w:rPr>
                <w:rFonts w:hint="eastAsia" w:ascii="宋体"/>
                <w:sz w:val="24"/>
                <w:szCs w:val="24"/>
              </w:rPr>
            </w:pPr>
          </w:p>
        </w:tc>
        <w:tc>
          <w:tcPr>
            <w:tcW w:w="28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2</w:t>
            </w:r>
          </w:p>
        </w:tc>
        <w:tc>
          <w:tcPr>
            <w:tcW w:w="485"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组</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织</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报</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名</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和</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资</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格审</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查</w:t>
            </w:r>
          </w:p>
        </w:tc>
        <w:tc>
          <w:tcPr>
            <w:tcW w:w="5742"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根据招聘岗位需求，采用网络报名形式，应聘人员网上选取招聘学校和岗位（学科）报名（每人最多可报考两个同类岗位&lt;学科&gt;，但不能在同一镇&lt;街道&gt;的义务教育阶段学校），并提交纸质招聘材料到报考单位，网上实时显示每个岗位（学科）的报名人数。报名截止前，应聘人可自行变更报考的学校和岗位（学科）。报名截止后，由招聘学校按照招聘条件，对照应聘人员递交的书面招聘材料进行资格审查。</w:t>
            </w:r>
          </w:p>
        </w:tc>
        <w:tc>
          <w:tcPr>
            <w:tcW w:w="3618" w:type="dxa"/>
            <w:tcBorders>
              <w:tl2br w:val="nil"/>
              <w:tr2bl w:val="nil"/>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pPr>
            <w:r>
              <w:rPr>
                <w:bdr w:val="none" w:color="auto" w:sz="0" w:space="0"/>
              </w:rPr>
              <w:t>组织报名：2016年12月14日前完成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pPr>
            <w:r>
              <w:rPr>
                <w:bdr w:val="none" w:color="auto" w:sz="0" w:space="0"/>
              </w:rPr>
              <w:t>资格审查：2016年12月21日前完成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7" w:type="dxa"/>
          <w:jc w:val="center"/>
        </w:trPr>
        <w:tc>
          <w:tcPr>
            <w:tcW w:w="286" w:type="dxa"/>
            <w:vMerge w:val="continue"/>
            <w:tcBorders>
              <w:tl2br w:val="nil"/>
              <w:tr2bl w:val="nil"/>
            </w:tcBorders>
            <w:shd w:val="clear" w:color="auto" w:fill="FFFFFF"/>
            <w:vAlign w:val="center"/>
          </w:tcPr>
          <w:p>
            <w:pPr>
              <w:rPr>
                <w:rFonts w:hint="eastAsia" w:ascii="宋体"/>
                <w:sz w:val="24"/>
                <w:szCs w:val="24"/>
              </w:rPr>
            </w:pPr>
          </w:p>
        </w:tc>
        <w:tc>
          <w:tcPr>
            <w:tcW w:w="28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3</w:t>
            </w:r>
          </w:p>
        </w:tc>
        <w:tc>
          <w:tcPr>
            <w:tcW w:w="485"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组织面试</w:t>
            </w:r>
          </w:p>
        </w:tc>
        <w:tc>
          <w:tcPr>
            <w:tcW w:w="5742"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招聘学校按照区教育局面试实施指导意见，并结合本单位实际开展面试工作，镇（街道）教育局负责统筹和监管学校的面试工作。</w:t>
            </w:r>
          </w:p>
        </w:tc>
        <w:tc>
          <w:tcPr>
            <w:tcW w:w="361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2016年12月31日前完成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CCCCC"/>
          <w:tblLayout w:type="fixed"/>
          <w:tblCellMar>
            <w:top w:w="0" w:type="dxa"/>
            <w:left w:w="0" w:type="dxa"/>
            <w:bottom w:w="0" w:type="dxa"/>
            <w:right w:w="0" w:type="dxa"/>
          </w:tblCellMar>
        </w:tblPrEx>
        <w:trPr>
          <w:tblCellSpacing w:w="7" w:type="dxa"/>
          <w:jc w:val="center"/>
        </w:trPr>
        <w:tc>
          <w:tcPr>
            <w:tcW w:w="286" w:type="dxa"/>
            <w:vMerge w:val="continue"/>
            <w:tcBorders>
              <w:tl2br w:val="nil"/>
              <w:tr2bl w:val="nil"/>
            </w:tcBorders>
            <w:shd w:val="clear" w:color="auto" w:fill="FFFFFF"/>
            <w:vAlign w:val="center"/>
          </w:tcPr>
          <w:p>
            <w:pPr>
              <w:rPr>
                <w:rFonts w:hint="eastAsia" w:ascii="宋体"/>
                <w:sz w:val="24"/>
                <w:szCs w:val="24"/>
              </w:rPr>
            </w:pPr>
          </w:p>
        </w:tc>
        <w:tc>
          <w:tcPr>
            <w:tcW w:w="28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4</w:t>
            </w:r>
          </w:p>
        </w:tc>
        <w:tc>
          <w:tcPr>
            <w:tcW w:w="485"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组织笔试报名</w:t>
            </w:r>
          </w:p>
        </w:tc>
        <w:tc>
          <w:tcPr>
            <w:tcW w:w="5742"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在面试成绩合格的应聘对象中，根据个人面试成绩从高到低排序，按照笔试人选数与招聘岗位数（2n+1）:1 的比例推荐人员参加笔试。若出现个别岗位（学科）面试成绩合格人数确实达不到上述规定比例的，则按面试成绩合格实际人数推荐人员参加笔试。笔试报名由招聘学校通知应聘人在网上进行确认报名参加笔试。每人只能报考一所学校。</w:t>
            </w:r>
          </w:p>
        </w:tc>
        <w:tc>
          <w:tcPr>
            <w:tcW w:w="361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2017年1月4-5日,镇属学校将参加笔试人员名单、报名资料、面试成绩上报镇（街道）教育局，区属学校直接上报区教育局。1月6日，区教育局组织人员对推荐参加笔试人员资格进行复查，确定参加笔试人员名单；1 月9-10日，学校通知考生在网上确认报名参加笔试。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7" w:type="dxa"/>
          <w:jc w:val="center"/>
        </w:trPr>
        <w:tc>
          <w:tcPr>
            <w:tcW w:w="286" w:type="dxa"/>
            <w:vMerge w:val="continue"/>
            <w:tcBorders>
              <w:tl2br w:val="nil"/>
              <w:tr2bl w:val="nil"/>
            </w:tcBorders>
            <w:shd w:val="clear" w:color="auto" w:fill="FFFFFF"/>
            <w:vAlign w:val="center"/>
          </w:tcPr>
          <w:p>
            <w:pPr>
              <w:rPr>
                <w:rFonts w:hint="eastAsia" w:ascii="宋体"/>
                <w:sz w:val="24"/>
                <w:szCs w:val="24"/>
              </w:rPr>
            </w:pPr>
          </w:p>
        </w:tc>
        <w:tc>
          <w:tcPr>
            <w:tcW w:w="28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5</w:t>
            </w:r>
          </w:p>
        </w:tc>
        <w:tc>
          <w:tcPr>
            <w:tcW w:w="485"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发放准考证</w:t>
            </w:r>
          </w:p>
        </w:tc>
        <w:tc>
          <w:tcPr>
            <w:tcW w:w="5742"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由区教育局编排数据，统一打印和发放准考证。</w:t>
            </w:r>
          </w:p>
        </w:tc>
        <w:tc>
          <w:tcPr>
            <w:tcW w:w="361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2017年1月13日前完成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CCCCC"/>
          <w:tblLayout w:type="fixed"/>
          <w:tblCellMar>
            <w:top w:w="0" w:type="dxa"/>
            <w:left w:w="0" w:type="dxa"/>
            <w:bottom w:w="0" w:type="dxa"/>
            <w:right w:w="0" w:type="dxa"/>
          </w:tblCellMar>
        </w:tblPrEx>
        <w:trPr>
          <w:tblCellSpacing w:w="7" w:type="dxa"/>
          <w:jc w:val="center"/>
        </w:trPr>
        <w:tc>
          <w:tcPr>
            <w:tcW w:w="286" w:type="dxa"/>
            <w:vMerge w:val="continue"/>
            <w:tcBorders>
              <w:tl2br w:val="nil"/>
              <w:tr2bl w:val="nil"/>
            </w:tcBorders>
            <w:shd w:val="clear" w:color="auto" w:fill="FFFFFF"/>
            <w:vAlign w:val="center"/>
          </w:tcPr>
          <w:p>
            <w:pPr>
              <w:rPr>
                <w:rFonts w:hint="eastAsia" w:ascii="宋体"/>
                <w:sz w:val="24"/>
                <w:szCs w:val="24"/>
              </w:rPr>
            </w:pPr>
          </w:p>
        </w:tc>
        <w:tc>
          <w:tcPr>
            <w:tcW w:w="28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6</w:t>
            </w:r>
          </w:p>
        </w:tc>
        <w:tc>
          <w:tcPr>
            <w:tcW w:w="485"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组织考试</w:t>
            </w:r>
          </w:p>
        </w:tc>
        <w:tc>
          <w:tcPr>
            <w:tcW w:w="5742"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笔试由区教育局组织，以闭卷形式进行。试卷总分为100 分。考试时间为120 分钟。</w:t>
            </w:r>
          </w:p>
        </w:tc>
        <w:tc>
          <w:tcPr>
            <w:tcW w:w="361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笔试时间：2017年1月14日上午9：00时—11：00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7" w:type="dxa"/>
          <w:jc w:val="center"/>
        </w:trPr>
        <w:tc>
          <w:tcPr>
            <w:tcW w:w="286" w:type="dxa"/>
            <w:vMerge w:val="continue"/>
            <w:tcBorders>
              <w:tl2br w:val="nil"/>
              <w:tr2bl w:val="nil"/>
            </w:tcBorders>
            <w:shd w:val="clear" w:color="auto" w:fill="FFFFFF"/>
            <w:vAlign w:val="center"/>
          </w:tcPr>
          <w:p>
            <w:pPr>
              <w:rPr>
                <w:rFonts w:hint="eastAsia" w:ascii="宋体"/>
                <w:sz w:val="24"/>
                <w:szCs w:val="24"/>
              </w:rPr>
            </w:pPr>
          </w:p>
        </w:tc>
        <w:tc>
          <w:tcPr>
            <w:tcW w:w="28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7</w:t>
            </w:r>
          </w:p>
        </w:tc>
        <w:tc>
          <w:tcPr>
            <w:tcW w:w="485"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组织评卷</w:t>
            </w:r>
          </w:p>
        </w:tc>
        <w:tc>
          <w:tcPr>
            <w:tcW w:w="5742"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由区教育局统一组织封闭式阅卷。</w:t>
            </w:r>
          </w:p>
        </w:tc>
        <w:tc>
          <w:tcPr>
            <w:tcW w:w="361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笔试结束后一周内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CCCCC"/>
          <w:tblLayout w:type="fixed"/>
          <w:tblCellMar>
            <w:top w:w="0" w:type="dxa"/>
            <w:left w:w="0" w:type="dxa"/>
            <w:bottom w:w="0" w:type="dxa"/>
            <w:right w:w="0" w:type="dxa"/>
          </w:tblCellMar>
        </w:tblPrEx>
        <w:trPr>
          <w:tblCellSpacing w:w="7" w:type="dxa"/>
          <w:jc w:val="center"/>
        </w:trPr>
        <w:tc>
          <w:tcPr>
            <w:tcW w:w="286" w:type="dxa"/>
            <w:vMerge w:val="continue"/>
            <w:tcBorders>
              <w:tl2br w:val="nil"/>
              <w:tr2bl w:val="nil"/>
            </w:tcBorders>
            <w:shd w:val="clear" w:color="auto" w:fill="FFFFFF"/>
            <w:vAlign w:val="center"/>
          </w:tcPr>
          <w:p>
            <w:pPr>
              <w:rPr>
                <w:rFonts w:hint="eastAsia" w:ascii="宋体"/>
                <w:sz w:val="24"/>
                <w:szCs w:val="24"/>
              </w:rPr>
            </w:pPr>
          </w:p>
        </w:tc>
        <w:tc>
          <w:tcPr>
            <w:tcW w:w="28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8</w:t>
            </w:r>
          </w:p>
        </w:tc>
        <w:tc>
          <w:tcPr>
            <w:tcW w:w="485"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公布考试成绩</w:t>
            </w:r>
          </w:p>
        </w:tc>
        <w:tc>
          <w:tcPr>
            <w:tcW w:w="5742"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笔试成绩网上统一公布。</w:t>
            </w:r>
          </w:p>
        </w:tc>
        <w:tc>
          <w:tcPr>
            <w:tcW w:w="361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笔试结束后一周内在顺德教育信息网上公布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7" w:type="dxa"/>
          <w:jc w:val="center"/>
        </w:trPr>
        <w:tc>
          <w:tcPr>
            <w:tcW w:w="286" w:type="dxa"/>
            <w:vMerge w:val="continue"/>
            <w:tcBorders>
              <w:tl2br w:val="nil"/>
              <w:tr2bl w:val="nil"/>
            </w:tcBorders>
            <w:shd w:val="clear" w:color="auto" w:fill="FFFFFF"/>
            <w:vAlign w:val="center"/>
          </w:tcPr>
          <w:p>
            <w:pPr>
              <w:rPr>
                <w:rFonts w:hint="eastAsia" w:ascii="宋体"/>
                <w:sz w:val="24"/>
                <w:szCs w:val="24"/>
              </w:rPr>
            </w:pPr>
          </w:p>
        </w:tc>
        <w:tc>
          <w:tcPr>
            <w:tcW w:w="28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9</w:t>
            </w:r>
          </w:p>
        </w:tc>
        <w:tc>
          <w:tcPr>
            <w:tcW w:w="485"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成绩复查</w:t>
            </w:r>
          </w:p>
        </w:tc>
        <w:tc>
          <w:tcPr>
            <w:tcW w:w="5742"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如需复查笔试成绩的考生，可向招聘学校提出申请，汇总后报区教育局。</w:t>
            </w:r>
          </w:p>
        </w:tc>
        <w:tc>
          <w:tcPr>
            <w:tcW w:w="361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成绩公布即日起 3 天内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7" w:type="dxa"/>
          <w:jc w:val="center"/>
        </w:trPr>
        <w:tc>
          <w:tcPr>
            <w:tcW w:w="286" w:type="dxa"/>
            <w:vMerge w:val="continue"/>
            <w:tcBorders>
              <w:tl2br w:val="nil"/>
              <w:tr2bl w:val="nil"/>
            </w:tcBorders>
            <w:shd w:val="clear" w:color="auto" w:fill="FFFFFF"/>
            <w:vAlign w:val="center"/>
          </w:tcPr>
          <w:p>
            <w:pPr>
              <w:rPr>
                <w:rFonts w:hint="eastAsia" w:ascii="宋体"/>
                <w:sz w:val="24"/>
                <w:szCs w:val="24"/>
              </w:rPr>
            </w:pPr>
          </w:p>
        </w:tc>
        <w:tc>
          <w:tcPr>
            <w:tcW w:w="28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10</w:t>
            </w:r>
          </w:p>
        </w:tc>
        <w:tc>
          <w:tcPr>
            <w:tcW w:w="485"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公布进入体检人员名单</w:t>
            </w:r>
          </w:p>
        </w:tc>
        <w:tc>
          <w:tcPr>
            <w:tcW w:w="5742"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按面试占  60%、笔试占  40%的比例计算综合总分。按分数从高到低顺序，与招聘岗位数  1：1 的比例确定拟录用人员名单，统一网上公布。</w:t>
            </w:r>
          </w:p>
        </w:tc>
        <w:tc>
          <w:tcPr>
            <w:tcW w:w="361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成绩复查结束后第二天在顺德教育信息网上公布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7" w:type="dxa"/>
          <w:jc w:val="center"/>
        </w:trPr>
        <w:tc>
          <w:tcPr>
            <w:tcW w:w="286" w:type="dxa"/>
            <w:vMerge w:val="continue"/>
            <w:tcBorders>
              <w:tl2br w:val="nil"/>
              <w:tr2bl w:val="nil"/>
            </w:tcBorders>
            <w:shd w:val="clear" w:color="auto" w:fill="FFFFFF"/>
            <w:vAlign w:val="center"/>
          </w:tcPr>
          <w:p>
            <w:pPr>
              <w:rPr>
                <w:rFonts w:hint="eastAsia" w:ascii="宋体"/>
                <w:sz w:val="24"/>
                <w:szCs w:val="24"/>
              </w:rPr>
            </w:pPr>
          </w:p>
        </w:tc>
        <w:tc>
          <w:tcPr>
            <w:tcW w:w="28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11</w:t>
            </w:r>
          </w:p>
        </w:tc>
        <w:tc>
          <w:tcPr>
            <w:tcW w:w="485"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组织体检</w:t>
            </w:r>
          </w:p>
        </w:tc>
        <w:tc>
          <w:tcPr>
            <w:tcW w:w="5742"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拟聘人员由区教育局统一组织到指定医院按教师资格认定体检标准进行体检，体检不合格者，不予聘用。</w:t>
            </w:r>
          </w:p>
        </w:tc>
        <w:tc>
          <w:tcPr>
            <w:tcW w:w="361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具体时间另行通知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7" w:type="dxa"/>
          <w:jc w:val="center"/>
        </w:trPr>
        <w:tc>
          <w:tcPr>
            <w:tcW w:w="286" w:type="dxa"/>
            <w:vMerge w:val="continue"/>
            <w:tcBorders>
              <w:tl2br w:val="nil"/>
              <w:tr2bl w:val="nil"/>
            </w:tcBorders>
            <w:shd w:val="clear" w:color="auto" w:fill="FFFFFF"/>
            <w:vAlign w:val="center"/>
          </w:tcPr>
          <w:p>
            <w:pPr>
              <w:rPr>
                <w:rFonts w:hint="eastAsia" w:ascii="宋体"/>
                <w:sz w:val="24"/>
                <w:szCs w:val="24"/>
              </w:rPr>
            </w:pPr>
          </w:p>
        </w:tc>
        <w:tc>
          <w:tcPr>
            <w:tcW w:w="28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12</w:t>
            </w:r>
          </w:p>
        </w:tc>
        <w:tc>
          <w:tcPr>
            <w:tcW w:w="485"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考察</w:t>
            </w:r>
          </w:p>
        </w:tc>
        <w:tc>
          <w:tcPr>
            <w:tcW w:w="5742"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体检合格人员，列为考察对象。</w:t>
            </w:r>
          </w:p>
        </w:tc>
        <w:tc>
          <w:tcPr>
            <w:tcW w:w="361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体检完成后安排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7" w:type="dxa"/>
          <w:jc w:val="center"/>
        </w:trPr>
        <w:tc>
          <w:tcPr>
            <w:tcW w:w="286" w:type="dxa"/>
            <w:vMerge w:val="continue"/>
            <w:tcBorders>
              <w:tl2br w:val="nil"/>
              <w:tr2bl w:val="nil"/>
            </w:tcBorders>
            <w:shd w:val="clear" w:color="auto" w:fill="FFFFFF"/>
            <w:vAlign w:val="center"/>
          </w:tcPr>
          <w:p>
            <w:pPr>
              <w:rPr>
                <w:rFonts w:hint="eastAsia" w:ascii="宋体"/>
                <w:sz w:val="24"/>
                <w:szCs w:val="24"/>
              </w:rPr>
            </w:pPr>
          </w:p>
        </w:tc>
        <w:tc>
          <w:tcPr>
            <w:tcW w:w="28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13</w:t>
            </w:r>
          </w:p>
        </w:tc>
        <w:tc>
          <w:tcPr>
            <w:tcW w:w="485"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公示拟录取人员名单</w:t>
            </w:r>
          </w:p>
        </w:tc>
        <w:tc>
          <w:tcPr>
            <w:tcW w:w="5742"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考察合格的拟录用人员，在顺德教育信息网进行公示，公示时间七个工作日。</w:t>
            </w:r>
          </w:p>
        </w:tc>
        <w:tc>
          <w:tcPr>
            <w:tcW w:w="361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时间安排在医院出具体检结果后进行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7" w:type="dxa"/>
          <w:jc w:val="center"/>
        </w:trPr>
        <w:tc>
          <w:tcPr>
            <w:tcW w:w="10467" w:type="dxa"/>
            <w:gridSpan w:val="5"/>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CCCCC"/>
          <w:tblLayout w:type="fixed"/>
          <w:tblCellMar>
            <w:top w:w="0" w:type="dxa"/>
            <w:left w:w="0" w:type="dxa"/>
            <w:bottom w:w="0" w:type="dxa"/>
            <w:right w:w="0" w:type="dxa"/>
          </w:tblCellMar>
        </w:tblPrEx>
        <w:trPr>
          <w:tblCellSpacing w:w="7" w:type="dxa"/>
          <w:jc w:val="center"/>
        </w:trPr>
        <w:tc>
          <w:tcPr>
            <w:tcW w:w="1083" w:type="dxa"/>
            <w:gridSpan w:val="3"/>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办理引入有关手续</w:t>
            </w:r>
          </w:p>
        </w:tc>
        <w:tc>
          <w:tcPr>
            <w:tcW w:w="5742"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所有经体检合格、考察合格、公示无异议的拟录用人员，区教育局、区人事部门进行资料审查后，按规定程序办理手续。</w:t>
            </w:r>
          </w:p>
        </w:tc>
        <w:tc>
          <w:tcPr>
            <w:tcW w:w="3618" w:type="dxa"/>
            <w:tcBorders>
              <w:tl2br w:val="nil"/>
              <w:tr2bl w:val="nil"/>
            </w:tcBorders>
            <w:shd w:val="clear" w:color="auto" w:fill="FFFFFF"/>
            <w:vAlign w:val="center"/>
          </w:tcPr>
          <w:p>
            <w:pPr>
              <w:keepNext w:val="0"/>
              <w:keepLines w:val="0"/>
              <w:widowControl/>
              <w:suppressLineNumbers w:val="0"/>
              <w:shd w:val="clear" w:fill="FFFFFF"/>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2017年上半年</w:t>
            </w:r>
          </w:p>
        </w:tc>
      </w:tr>
    </w:tbl>
    <w:p>
      <w:r>
        <w:rPr>
          <w:rFonts w:ascii="normal" w:hAnsi="normal" w:eastAsia="normal" w:cs="normal"/>
          <w:b w:val="0"/>
          <w:i w:val="0"/>
          <w:caps w:val="0"/>
          <w:color w:val="585858"/>
          <w:spacing w:val="0"/>
          <w:sz w:val="21"/>
          <w:szCs w:val="21"/>
        </w:rPr>
        <w:t>备注：1.如个别项目时间安排需要调整，另行通知。</w:t>
      </w:r>
    </w:p>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normal">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1364F4"/>
    <w:rsid w:val="451364F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2016-12-06T07:42:00Z</dcterms:created>
  <dc:creator>123</dc:creator>
  <cp:lastModifiedBy>123</cp:lastModifiedBy>
  <dcterms:modified xsi:type="dcterms:W3CDTF">2016-12-06T07:44:25Z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