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pacing w:before="0" w:beforeAutospacing="0" w:after="0" w:afterAutospacing="0" w:line="440" w:lineRule="exact"/>
        <w:ind w:left="0" w:right="0"/>
        <w:jc w:val="left"/>
      </w:pPr>
      <w:r>
        <w:rPr>
          <w:rFonts w:ascii="黑体" w:hAnsi="宋体" w:eastAsia="黑体" w:cs="Times New Roman"/>
          <w:color w:val="000000"/>
          <w:kern w:val="2"/>
          <w:sz w:val="30"/>
          <w:szCs w:val="30"/>
          <w:lang w:val="en-US" w:eastAsia="zh-CN" w:bidi="ar"/>
        </w:rPr>
        <w:br w:type="page"/>
      </w:r>
      <w:r>
        <w:rPr>
          <w:rFonts w:hint="eastAsia" w:ascii="黑体" w:hAnsi="宋体" w:eastAsia="黑体" w:cs="黑体"/>
          <w:color w:val="000000"/>
          <w:kern w:val="0"/>
          <w:sz w:val="30"/>
          <w:szCs w:val="30"/>
          <w:lang w:val="en-US" w:eastAsia="zh-CN" w:bidi="ar"/>
        </w:rPr>
        <w:t> </w:t>
      </w:r>
    </w:p>
    <w:tbl>
      <w:tblPr>
        <w:tblW w:w="8896" w:type="dxa"/>
        <w:tblInd w:w="0" w:type="dxa"/>
        <w:shd w:val="clear"/>
        <w:tblLayout w:type="fixed"/>
        <w:tblCellMar>
          <w:top w:w="0" w:type="dxa"/>
          <w:left w:w="108" w:type="dxa"/>
          <w:bottom w:w="0" w:type="dxa"/>
          <w:right w:w="108" w:type="dxa"/>
        </w:tblCellMar>
      </w:tblPr>
      <w:tblGrid>
        <w:gridCol w:w="1095"/>
        <w:gridCol w:w="1215"/>
        <w:gridCol w:w="1305"/>
        <w:gridCol w:w="855"/>
        <w:gridCol w:w="3330"/>
        <w:gridCol w:w="860"/>
        <w:gridCol w:w="236"/>
      </w:tblGrid>
      <w:tr>
        <w:tblPrEx>
          <w:shd w:val="clear"/>
          <w:tblLayout w:type="fixed"/>
          <w:tblCellMar>
            <w:top w:w="0" w:type="dxa"/>
            <w:left w:w="108" w:type="dxa"/>
            <w:bottom w:w="0" w:type="dxa"/>
            <w:right w:w="108" w:type="dxa"/>
          </w:tblCellMar>
        </w:tblPrEx>
        <w:trPr>
          <w:gridAfter w:val="1"/>
          <w:wAfter w:w="236" w:type="dxa"/>
          <w:trHeight w:val="570" w:hRule="atLeast"/>
        </w:trPr>
        <w:tc>
          <w:tcPr>
            <w:tcW w:w="8660" w:type="dxa"/>
            <w:gridSpan w:val="6"/>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36"/>
                <w:szCs w:val="20"/>
                <w:bdr w:val="none" w:color="auto" w:sz="0" w:space="0"/>
                <w:lang w:val="en-US" w:eastAsia="zh-CN" w:bidi="ar"/>
              </w:rPr>
              <w:t>大余县</w:t>
            </w:r>
            <w:r>
              <w:rPr>
                <w:rFonts w:hint="default" w:ascii="汉仪中宋简" w:hAnsi="汉仪中宋简" w:eastAsia="宋体" w:cs="汉仪中宋简"/>
                <w:b/>
                <w:bCs w:val="0"/>
                <w:color w:val="000000"/>
                <w:kern w:val="0"/>
                <w:sz w:val="36"/>
                <w:szCs w:val="20"/>
                <w:bdr w:val="none" w:color="auto" w:sz="0" w:space="0"/>
                <w:lang w:val="en-US" w:eastAsia="zh-CN" w:bidi="ar"/>
              </w:rPr>
              <w:t>2016</w:t>
            </w:r>
            <w:r>
              <w:rPr>
                <w:rFonts w:hint="eastAsia" w:ascii="汉仪中宋简" w:hAnsi="Times New Roman" w:eastAsia="宋体" w:cs="宋体"/>
                <w:b/>
                <w:bCs w:val="0"/>
                <w:color w:val="000000"/>
                <w:kern w:val="0"/>
                <w:sz w:val="36"/>
                <w:szCs w:val="20"/>
                <w:bdr w:val="none" w:color="auto" w:sz="0" w:space="0"/>
                <w:lang w:val="en-US" w:eastAsia="zh-CN" w:bidi="ar"/>
              </w:rPr>
              <w:t>年中小学（公办幼儿园）教师招聘计划</w:t>
            </w:r>
          </w:p>
        </w:tc>
      </w:tr>
      <w:tr>
        <w:tblPrEx>
          <w:tblLayout w:type="fixed"/>
          <w:tblCellMar>
            <w:top w:w="0" w:type="dxa"/>
            <w:left w:w="108" w:type="dxa"/>
            <w:bottom w:w="0" w:type="dxa"/>
            <w:right w:w="108" w:type="dxa"/>
          </w:tblCellMar>
        </w:tblPrEx>
        <w:trPr>
          <w:trHeight w:val="510" w:hRule="atLeast"/>
        </w:trPr>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24"/>
                <w:szCs w:val="20"/>
                <w:bdr w:val="none" w:color="auto" w:sz="0" w:space="0"/>
                <w:lang w:val="en-US" w:eastAsia="zh-CN" w:bidi="ar"/>
              </w:rPr>
              <w:t>层次</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28"/>
                <w:szCs w:val="20"/>
                <w:bdr w:val="none" w:color="auto" w:sz="0" w:space="0"/>
                <w:lang w:val="en-US" w:eastAsia="zh-CN" w:bidi="ar"/>
              </w:rPr>
              <w:t>指标数</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28"/>
                <w:szCs w:val="20"/>
                <w:bdr w:val="none" w:color="auto" w:sz="0" w:space="0"/>
                <w:lang w:val="en-US" w:eastAsia="zh-CN" w:bidi="ar"/>
              </w:rPr>
              <w:t>岗位</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28"/>
                <w:szCs w:val="20"/>
                <w:bdr w:val="none" w:color="auto" w:sz="0" w:space="0"/>
                <w:lang w:val="en-US" w:eastAsia="zh-CN" w:bidi="ar"/>
              </w:rPr>
              <w:t>职数</w:t>
            </w:r>
          </w:p>
        </w:tc>
        <w:tc>
          <w:tcPr>
            <w:tcW w:w="3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28"/>
                <w:szCs w:val="20"/>
                <w:bdr w:val="none" w:color="auto" w:sz="0" w:space="0"/>
                <w:lang w:val="en-US" w:eastAsia="zh-CN" w:bidi="ar"/>
              </w:rPr>
              <w:t>招聘办法</w:t>
            </w: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28"/>
                <w:szCs w:val="20"/>
                <w:bdr w:val="none" w:color="auto" w:sz="0" w:space="0"/>
                <w:lang w:val="en-US" w:eastAsia="zh-CN" w:bidi="ar"/>
              </w:rPr>
              <w:t>备注</w:t>
            </w:r>
          </w:p>
        </w:tc>
      </w:tr>
      <w:tr>
        <w:tblPrEx>
          <w:tblLayout w:type="fixed"/>
          <w:tblCellMar>
            <w:top w:w="0" w:type="dxa"/>
            <w:left w:w="108" w:type="dxa"/>
            <w:bottom w:w="0" w:type="dxa"/>
            <w:right w:w="108" w:type="dxa"/>
          </w:tblCellMar>
        </w:tblPrEx>
        <w:trPr>
          <w:trHeight w:val="450" w:hRule="atLeast"/>
        </w:trPr>
        <w:tc>
          <w:tcPr>
            <w:tcW w:w="109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ascii="仿宋_GB2312" w:hAnsi="仿宋_GB2312" w:eastAsia="仿宋_GB2312" w:cs="仿宋_GB2312"/>
                <w:color w:val="000000"/>
                <w:kern w:val="0"/>
                <w:sz w:val="24"/>
                <w:szCs w:val="20"/>
                <w:bdr w:val="none" w:color="auto" w:sz="0" w:space="0"/>
                <w:lang w:val="en-US" w:eastAsia="zh-CN" w:bidi="ar"/>
              </w:rPr>
              <w:t>幼儿园</w:t>
            </w:r>
          </w:p>
        </w:tc>
        <w:tc>
          <w:tcPr>
            <w:tcW w:w="121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幼儿教育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30</w:t>
            </w:r>
          </w:p>
        </w:tc>
        <w:tc>
          <w:tcPr>
            <w:tcW w:w="3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2"/>
                <w:szCs w:val="20"/>
                <w:bdr w:val="none" w:color="auto" w:sz="0" w:space="0"/>
                <w:lang w:val="en-US" w:eastAsia="zh-CN" w:bidi="ar"/>
              </w:rPr>
              <w:t>公开招考</w:t>
            </w: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小学</w:t>
            </w:r>
          </w:p>
        </w:tc>
        <w:tc>
          <w:tcPr>
            <w:tcW w:w="12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语文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18</w:t>
            </w:r>
          </w:p>
        </w:tc>
        <w:tc>
          <w:tcPr>
            <w:tcW w:w="333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数学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9</w:t>
            </w:r>
          </w:p>
        </w:tc>
        <w:tc>
          <w:tcPr>
            <w:tcW w:w="333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英语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音乐</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2</w:t>
            </w:r>
          </w:p>
        </w:tc>
        <w:tc>
          <w:tcPr>
            <w:tcW w:w="333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体育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2</w:t>
            </w:r>
          </w:p>
        </w:tc>
        <w:tc>
          <w:tcPr>
            <w:tcW w:w="333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美术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初中</w:t>
            </w:r>
          </w:p>
        </w:tc>
        <w:tc>
          <w:tcPr>
            <w:tcW w:w="1215"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政治</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2</w:t>
            </w:r>
          </w:p>
        </w:tc>
        <w:tc>
          <w:tcPr>
            <w:tcW w:w="333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2"/>
                <w:szCs w:val="20"/>
                <w:bdr w:val="none" w:color="auto" w:sz="0" w:space="0"/>
                <w:lang w:val="en-US" w:eastAsia="zh-CN" w:bidi="ar"/>
              </w:rPr>
              <w:t>公开招考</w:t>
            </w: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215" w:type="dxa"/>
            <w:vMerge w:val="continue"/>
            <w:tcBorders>
              <w:top w:val="nil"/>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历史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215" w:type="dxa"/>
            <w:vMerge w:val="continue"/>
            <w:tcBorders>
              <w:top w:val="nil"/>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地理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215" w:type="dxa"/>
            <w:vMerge w:val="continue"/>
            <w:tcBorders>
              <w:top w:val="nil"/>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生物</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215" w:type="dxa"/>
            <w:vMerge w:val="continue"/>
            <w:tcBorders>
              <w:top w:val="nil"/>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化学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215" w:type="dxa"/>
            <w:vMerge w:val="continue"/>
            <w:tcBorders>
              <w:top w:val="nil"/>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计算机</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3</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sz w:val="24"/>
                <w:szCs w:val="24"/>
              </w:rPr>
            </w:pPr>
          </w:p>
        </w:tc>
        <w:tc>
          <w:tcPr>
            <w:tcW w:w="1215" w:type="dxa"/>
            <w:vMerge w:val="continue"/>
            <w:tcBorders>
              <w:top w:val="nil"/>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物理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4</w:t>
            </w:r>
          </w:p>
        </w:tc>
        <w:tc>
          <w:tcPr>
            <w:tcW w:w="333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2"/>
                <w:szCs w:val="20"/>
                <w:bdr w:val="none" w:color="auto" w:sz="0" w:space="0"/>
                <w:lang w:val="en-US" w:eastAsia="zh-CN" w:bidi="ar"/>
              </w:rPr>
              <w:t>直接考核签约与公开招考相结合</w:t>
            </w: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高中</w:t>
            </w:r>
            <w:r>
              <w:rPr>
                <w:rFonts w:hint="default" w:ascii="仿宋_GB2312" w:hAnsi="仿宋_GB2312" w:eastAsia="仿宋_GB2312" w:cs="仿宋_GB2312"/>
                <w:color w:val="000000"/>
                <w:kern w:val="0"/>
                <w:sz w:val="24"/>
                <w:szCs w:val="20"/>
                <w:bdr w:val="none" w:color="auto" w:sz="0" w:space="0"/>
                <w:lang w:val="en-US" w:eastAsia="zh-CN" w:bidi="ar"/>
              </w:rPr>
              <w:br w:type="textWrapping"/>
            </w:r>
            <w:r>
              <w:rPr>
                <w:rFonts w:hint="default" w:ascii="仿宋_GB2312" w:hAnsi="仿宋_GB2312" w:eastAsia="仿宋_GB2312" w:cs="仿宋_GB2312"/>
                <w:color w:val="000000"/>
                <w:kern w:val="0"/>
                <w:sz w:val="24"/>
                <w:szCs w:val="20"/>
                <w:bdr w:val="none" w:color="auto" w:sz="0" w:space="0"/>
                <w:lang w:val="en-US" w:eastAsia="zh-CN" w:bidi="ar"/>
              </w:rPr>
              <w:t>（职中）</w:t>
            </w:r>
          </w:p>
        </w:tc>
        <w:tc>
          <w:tcPr>
            <w:tcW w:w="121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化学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2</w:t>
            </w:r>
          </w:p>
        </w:tc>
        <w:tc>
          <w:tcPr>
            <w:tcW w:w="333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2"/>
                <w:szCs w:val="20"/>
                <w:bdr w:val="none" w:color="auto" w:sz="0" w:space="0"/>
                <w:lang w:val="en-US" w:eastAsia="zh-CN" w:bidi="ar"/>
              </w:rPr>
              <w:t>公开招考</w:t>
            </w: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体育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英语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物理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2</w:t>
            </w:r>
          </w:p>
        </w:tc>
        <w:tc>
          <w:tcPr>
            <w:tcW w:w="333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2"/>
                <w:szCs w:val="20"/>
                <w:bdr w:val="none" w:color="auto" w:sz="0" w:space="0"/>
                <w:lang w:val="en-US" w:eastAsia="zh-CN" w:bidi="ar"/>
              </w:rPr>
              <w:t>直接考核签约与公开招考相结合</w:t>
            </w: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汽修</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2</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车工</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数控铣床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215"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中式烹饪</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仿宋_GB2312" w:hAnsi="仿宋_GB2312" w:eastAsia="仿宋_GB2312" w:cs="仿宋_GB2312"/>
                <w:color w:val="000000"/>
                <w:kern w:val="0"/>
                <w:sz w:val="24"/>
                <w:szCs w:val="20"/>
                <w:bdr w:val="none" w:color="auto" w:sz="0" w:space="0"/>
                <w:lang w:val="en-US" w:eastAsia="zh-CN" w:bidi="ar"/>
              </w:rPr>
              <w:t>1</w:t>
            </w:r>
          </w:p>
        </w:tc>
        <w:tc>
          <w:tcPr>
            <w:tcW w:w="3330" w:type="dxa"/>
            <w:vMerge w:val="continue"/>
            <w:tcBorders>
              <w:top w:val="single" w:color="000000" w:sz="4" w:space="0"/>
              <w:left w:val="single" w:color="000000" w:sz="4" w:space="0"/>
              <w:bottom w:val="nil"/>
              <w:right w:val="single" w:color="000000" w:sz="4" w:space="0"/>
            </w:tcBorders>
            <w:shd w:val="clear"/>
            <w:vAlign w:val="center"/>
          </w:tcPr>
          <w:p>
            <w:pPr>
              <w:rPr>
                <w:rFonts w:hint="eastAsia" w:ascii="宋体"/>
                <w:sz w:val="24"/>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450" w:hRule="atLeast"/>
        </w:trPr>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eastAsia" w:ascii="汉仪中宋简" w:hAnsi="Times New Roman" w:eastAsia="宋体" w:cs="宋体"/>
                <w:b/>
                <w:bCs w:val="0"/>
                <w:color w:val="000000"/>
                <w:kern w:val="0"/>
                <w:sz w:val="24"/>
                <w:szCs w:val="20"/>
                <w:bdr w:val="none" w:color="auto" w:sz="0" w:space="0"/>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汉仪中宋简" w:hAnsi="汉仪中宋简" w:eastAsia="宋体" w:cs="汉仪中宋简"/>
                <w:b/>
                <w:bCs w:val="0"/>
                <w:color w:val="000000"/>
                <w:kern w:val="0"/>
                <w:sz w:val="24"/>
                <w:szCs w:val="20"/>
                <w:bdr w:val="none" w:color="auto" w:sz="0" w:space="0"/>
                <w:lang w:val="en-US" w:eastAsia="zh-CN" w:bidi="ar"/>
              </w:rPr>
              <w:t>87</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汉仪中宋简" w:hAnsi="汉仪中宋简" w:eastAsia="宋体" w:cs="汉仪中宋简"/>
                <w:b/>
                <w:bCs w:val="0"/>
                <w:color w:val="000000"/>
                <w:kern w:val="0"/>
                <w:sz w:val="24"/>
                <w:szCs w:val="20"/>
                <w:bdr w:val="none" w:color="auto" w:sz="0" w:space="0"/>
                <w:lang w:val="en-US" w:eastAsia="zh-CN" w:bidi="ar"/>
              </w:rPr>
              <w:t>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汉仪中宋简" w:hAnsi="汉仪中宋简" w:eastAsia="宋体" w:cs="汉仪中宋简"/>
                <w:b/>
                <w:bCs w:val="0"/>
                <w:color w:val="000000"/>
                <w:kern w:val="0"/>
                <w:sz w:val="24"/>
                <w:szCs w:val="20"/>
                <w:bdr w:val="none" w:color="auto" w:sz="0" w:space="0"/>
                <w:lang w:val="en-US" w:eastAsia="zh-CN" w:bidi="ar"/>
              </w:rPr>
              <w:t>87</w:t>
            </w:r>
          </w:p>
        </w:tc>
        <w:tc>
          <w:tcPr>
            <w:tcW w:w="33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汉仪中宋简" w:hAnsi="汉仪中宋简" w:eastAsia="宋体" w:cs="汉仪中宋简"/>
                <w:b/>
                <w:bCs w:val="0"/>
                <w:color w:val="000000"/>
                <w:kern w:val="0"/>
                <w:sz w:val="24"/>
                <w:szCs w:val="20"/>
                <w:bdr w:val="none" w:color="auto" w:sz="0" w:space="0"/>
                <w:lang w:val="en-US" w:eastAsia="zh-CN" w:bidi="ar"/>
              </w:rPr>
              <w:t> </w:t>
            </w:r>
          </w:p>
        </w:tc>
        <w:tc>
          <w:tcPr>
            <w:tcW w:w="10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textAlignment w:val="center"/>
            </w:pPr>
            <w:r>
              <w:rPr>
                <w:rFonts w:hint="default" w:ascii="汉仪中宋简" w:hAnsi="汉仪中宋简" w:eastAsia="宋体" w:cs="汉仪中宋简"/>
                <w:b/>
                <w:bCs w:val="0"/>
                <w:color w:val="000000"/>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00" w:hRule="atLeast"/>
        </w:trPr>
        <w:tc>
          <w:tcPr>
            <w:tcW w:w="8896" w:type="dxa"/>
            <w:gridSpan w:val="7"/>
            <w:tcBorders>
              <w:top w:val="single" w:color="000000" w:sz="4" w:space="0"/>
              <w:left w:val="nil"/>
              <w:bottom w:val="nil"/>
              <w:right w:val="nil"/>
            </w:tcBorders>
            <w:shd w:val="clear"/>
            <w:vAlign w:val="center"/>
          </w:tcPr>
          <w:p>
            <w:pPr>
              <w:keepNext w:val="0"/>
              <w:keepLines w:val="0"/>
              <w:widowControl/>
              <w:suppressLineNumbers w:val="0"/>
              <w:spacing w:before="0" w:beforeAutospacing="0" w:after="0" w:afterAutospacing="0"/>
              <w:ind w:left="0" w:right="0"/>
              <w:jc w:val="left"/>
              <w:textAlignment w:val="center"/>
            </w:pPr>
            <w:r>
              <w:rPr>
                <w:rFonts w:hint="default" w:ascii="仿宋_GB2312" w:hAnsi="仿宋_GB2312" w:eastAsia="仿宋_GB2312" w:cs="仿宋_GB2312"/>
                <w:color w:val="000000"/>
                <w:kern w:val="0"/>
                <w:sz w:val="24"/>
                <w:szCs w:val="20"/>
                <w:bdr w:val="none" w:color="auto" w:sz="0" w:space="0"/>
                <w:lang w:val="en-US" w:eastAsia="zh-CN" w:bidi="ar"/>
              </w:rPr>
              <w:t xml:space="preserve">注：开考比例。5人以下指标的学科笔试开考比1:2；5人以上指标的学科笔试开考比1:1.5。  </w:t>
            </w:r>
          </w:p>
        </w:tc>
      </w:tr>
      <w:tr>
        <w:tblPrEx>
          <w:tblLayout w:type="fixed"/>
          <w:tblCellMar>
            <w:top w:w="0" w:type="dxa"/>
            <w:left w:w="108" w:type="dxa"/>
            <w:bottom w:w="0" w:type="dxa"/>
            <w:right w:w="108" w:type="dxa"/>
          </w:tblCellMar>
        </w:tblPrEx>
        <w:trPr>
          <w:trHeight w:val="0" w:hRule="atLeast"/>
        </w:trPr>
        <w:tc>
          <w:tcPr>
            <w:tcW w:w="1095" w:type="dxa"/>
            <w:tcBorders>
              <w:top w:val="nil"/>
              <w:left w:val="nil"/>
              <w:bottom w:val="nil"/>
              <w:right w:val="nil"/>
            </w:tcBorders>
            <w:shd w:val="clear"/>
            <w:vAlign w:val="center"/>
          </w:tcPr>
          <w:p>
            <w:pPr>
              <w:rPr>
                <w:rFonts w:hint="eastAsia" w:ascii="宋体"/>
                <w:sz w:val="24"/>
                <w:szCs w:val="24"/>
              </w:rPr>
            </w:pPr>
          </w:p>
        </w:tc>
        <w:tc>
          <w:tcPr>
            <w:tcW w:w="1215" w:type="dxa"/>
            <w:tcBorders>
              <w:top w:val="nil"/>
              <w:left w:val="nil"/>
              <w:bottom w:val="nil"/>
              <w:right w:val="nil"/>
            </w:tcBorders>
            <w:shd w:val="clear"/>
            <w:vAlign w:val="center"/>
          </w:tcPr>
          <w:p>
            <w:pPr>
              <w:rPr>
                <w:rFonts w:hint="eastAsia" w:ascii="宋体"/>
                <w:sz w:val="24"/>
                <w:szCs w:val="24"/>
              </w:rPr>
            </w:pPr>
          </w:p>
        </w:tc>
        <w:tc>
          <w:tcPr>
            <w:tcW w:w="1305" w:type="dxa"/>
            <w:tcBorders>
              <w:top w:val="nil"/>
              <w:left w:val="nil"/>
              <w:bottom w:val="nil"/>
              <w:right w:val="nil"/>
            </w:tcBorders>
            <w:shd w:val="clear"/>
            <w:vAlign w:val="center"/>
          </w:tcPr>
          <w:p>
            <w:pPr>
              <w:rPr>
                <w:rFonts w:hint="eastAsia" w:ascii="宋体"/>
                <w:sz w:val="24"/>
                <w:szCs w:val="24"/>
              </w:rPr>
            </w:pPr>
          </w:p>
        </w:tc>
        <w:tc>
          <w:tcPr>
            <w:tcW w:w="855" w:type="dxa"/>
            <w:tcBorders>
              <w:top w:val="nil"/>
              <w:left w:val="nil"/>
              <w:bottom w:val="nil"/>
              <w:right w:val="nil"/>
            </w:tcBorders>
            <w:shd w:val="clear"/>
            <w:vAlign w:val="center"/>
          </w:tcPr>
          <w:p>
            <w:pPr>
              <w:rPr>
                <w:rFonts w:hint="eastAsia" w:ascii="宋体"/>
                <w:sz w:val="24"/>
                <w:szCs w:val="24"/>
              </w:rPr>
            </w:pPr>
          </w:p>
        </w:tc>
        <w:tc>
          <w:tcPr>
            <w:tcW w:w="3330" w:type="dxa"/>
            <w:tcBorders>
              <w:top w:val="nil"/>
              <w:left w:val="nil"/>
              <w:bottom w:val="nil"/>
              <w:right w:val="nil"/>
            </w:tcBorders>
            <w:shd w:val="clear"/>
            <w:vAlign w:val="center"/>
          </w:tcPr>
          <w:p>
            <w:pPr>
              <w:rPr>
                <w:rFonts w:hint="eastAsia" w:ascii="宋体"/>
                <w:sz w:val="24"/>
                <w:szCs w:val="24"/>
              </w:rPr>
            </w:pPr>
          </w:p>
        </w:tc>
        <w:tc>
          <w:tcPr>
            <w:tcW w:w="860" w:type="dxa"/>
            <w:tcBorders>
              <w:top w:val="nil"/>
              <w:left w:val="nil"/>
              <w:bottom w:val="nil"/>
              <w:right w:val="nil"/>
            </w:tcBorders>
            <w:shd w:val="clear"/>
            <w:vAlign w:val="center"/>
          </w:tcPr>
          <w:p>
            <w:pPr>
              <w:rPr>
                <w:rFonts w:hint="eastAsia" w:ascii="宋体"/>
                <w:sz w:val="24"/>
                <w:szCs w:val="24"/>
              </w:rPr>
            </w:pPr>
          </w:p>
        </w:tc>
        <w:tc>
          <w:tcPr>
            <w:tcW w:w="236"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suppressLineNumbers w:val="0"/>
        <w:spacing w:before="0" w:beforeAutospacing="0" w:after="0" w:afterAutospacing="0" w:line="440" w:lineRule="exact"/>
        <w:ind w:left="0" w:right="0"/>
        <w:jc w:val="center"/>
      </w:pPr>
      <w:r>
        <w:rPr>
          <w:rFonts w:hint="eastAsia" w:ascii="黑体" w:hAnsi="宋体" w:eastAsia="黑体" w:cs="Times New Roman"/>
          <w:color w:val="000000"/>
          <w:kern w:val="2"/>
          <w:sz w:val="30"/>
          <w:szCs w:val="30"/>
          <w:lang w:val="en-US" w:eastAsia="zh-CN" w:bidi="ar"/>
        </w:rPr>
        <w:br w:type="page"/>
      </w:r>
      <w:r>
        <w:rPr>
          <w:rFonts w:ascii="华文中宋" w:hAnsi="华文中宋" w:eastAsia="华文中宋" w:cs="华文中宋"/>
          <w:color w:val="000000"/>
          <w:kern w:val="0"/>
          <w:sz w:val="36"/>
          <w:szCs w:val="36"/>
          <w:lang w:val="en-US" w:eastAsia="zh-CN" w:bidi="ar"/>
        </w:rPr>
        <w:t>大余县中小学公办幼儿园教师招聘直接考核聘用办法</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eastAsia="仿宋_GB2312" w:cs="仿宋_GB2312" w:hAnsiTheme="minorHAnsi"/>
          <w:bCs/>
          <w:kern w:val="0"/>
          <w:sz w:val="30"/>
          <w:szCs w:val="30"/>
          <w:lang w:val="en-US" w:eastAsia="zh-CN" w:bidi="ar"/>
        </w:rPr>
        <w:t>为使直接考核聘用工作公开透明、平稳有序进行，特制订本办法。</w:t>
      </w:r>
    </w:p>
    <w:p>
      <w:pPr>
        <w:keepNext w:val="0"/>
        <w:keepLines w:val="0"/>
        <w:widowControl/>
        <w:suppressLineNumbers w:val="0"/>
        <w:spacing w:before="0" w:beforeAutospacing="0" w:after="0" w:afterAutospacing="0" w:line="480" w:lineRule="exact"/>
        <w:ind w:left="0" w:right="0" w:firstLine="602" w:firstLineChars="200"/>
        <w:jc w:val="left"/>
      </w:pPr>
      <w:r>
        <w:rPr>
          <w:rFonts w:hint="eastAsia" w:ascii="宋体" w:hAnsi="宋体" w:eastAsia="宋体" w:cs="宋体"/>
          <w:b/>
          <w:bCs w:val="0"/>
          <w:kern w:val="0"/>
          <w:sz w:val="30"/>
          <w:szCs w:val="30"/>
          <w:lang w:val="en-US" w:eastAsia="zh-CN" w:bidi="ar"/>
        </w:rPr>
        <w:t>一、直接考核聘用范围及条件</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hAnsi="仿宋_GB2312" w:eastAsia="仿宋_GB2312" w:cs="仿宋_GB2312"/>
          <w:kern w:val="0"/>
          <w:sz w:val="30"/>
          <w:szCs w:val="30"/>
          <w:lang w:val="en-US" w:eastAsia="zh-CN" w:bidi="ar"/>
        </w:rPr>
        <w:t>1.所有招考的教师岗位：符合招聘条件的35周岁以下（即1981年元月1日以后出生）</w:t>
      </w:r>
      <w:r>
        <w:rPr>
          <w:rFonts w:hint="default" w:ascii="仿宋_GB2312" w:hAnsi="仿宋_GB2312" w:eastAsia="仿宋_GB2312" w:cs="仿宋_GB2312"/>
          <w:color w:val="000000"/>
          <w:kern w:val="0"/>
          <w:sz w:val="30"/>
          <w:szCs w:val="30"/>
          <w:lang w:val="en-US" w:eastAsia="zh-CN" w:bidi="ar"/>
        </w:rPr>
        <w:t>专业对口的具有相应教师资格证的</w:t>
      </w:r>
      <w:r>
        <w:rPr>
          <w:rFonts w:hint="default" w:ascii="仿宋_GB2312" w:hAnsi="仿宋_GB2312" w:eastAsia="仿宋_GB2312" w:cs="仿宋_GB2312"/>
          <w:kern w:val="0"/>
          <w:sz w:val="30"/>
          <w:szCs w:val="30"/>
          <w:lang w:val="en-US" w:eastAsia="zh-CN" w:bidi="ar"/>
        </w:rPr>
        <w:t>硕士及以上研究生。</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hAnsi="仿宋_GB2312" w:eastAsia="仿宋_GB2312" w:cs="仿宋_GB2312"/>
          <w:kern w:val="0"/>
          <w:sz w:val="30"/>
          <w:szCs w:val="30"/>
          <w:lang w:val="en-US" w:eastAsia="zh-CN" w:bidi="ar"/>
        </w:rPr>
        <w:t>2.初高中物理教师岗位：符合招聘条件的国家计划内统招的应历届全日制二本及以上物理专业师范毕业生。</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hAnsi="仿宋_GB2312" w:eastAsia="仿宋_GB2312" w:cs="仿宋_GB2312"/>
          <w:kern w:val="0"/>
          <w:sz w:val="30"/>
          <w:szCs w:val="30"/>
          <w:lang w:val="en-US" w:eastAsia="zh-CN" w:bidi="ar"/>
        </w:rPr>
        <w:t>3.经过招考依然未能完成招聘计划的职教中心汽修、车工、数控铣床和中式烹饪教师岗位：报名参加了考试但未录取的国家计划内统招的应历届全日制本科及以上汽修、车工、数控铣床和中式烹饪专业高校毕业生。</w:t>
      </w:r>
    </w:p>
    <w:p>
      <w:pPr>
        <w:keepNext w:val="0"/>
        <w:keepLines w:val="0"/>
        <w:widowControl/>
        <w:suppressLineNumbers w:val="0"/>
        <w:spacing w:before="0" w:beforeAutospacing="0" w:after="0" w:afterAutospacing="0" w:line="480" w:lineRule="exact"/>
        <w:ind w:left="0" w:right="0" w:firstLine="602" w:firstLineChars="200"/>
        <w:jc w:val="left"/>
      </w:pPr>
      <w:r>
        <w:rPr>
          <w:rFonts w:hint="eastAsia" w:ascii="宋体" w:hAnsi="宋体" w:eastAsia="宋体" w:cs="宋体"/>
          <w:b/>
          <w:bCs w:val="0"/>
          <w:kern w:val="0"/>
          <w:sz w:val="30"/>
          <w:szCs w:val="30"/>
          <w:lang w:val="en-US" w:eastAsia="zh-CN" w:bidi="ar"/>
        </w:rPr>
        <w:t>二、直接考核聘用方式</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hAnsi="仿宋_GB2312" w:eastAsia="仿宋_GB2312" w:cs="仿宋_GB2312"/>
          <w:kern w:val="0"/>
          <w:sz w:val="30"/>
          <w:szCs w:val="30"/>
          <w:lang w:val="en-US" w:eastAsia="zh-CN" w:bidi="ar"/>
        </w:rPr>
        <w:t>对报名直接考核聘用人员提供的资料进行计分后，根据岗位按照分数从高到低的顺序等额聘用。</w:t>
      </w:r>
    </w:p>
    <w:p>
      <w:pPr>
        <w:keepNext w:val="0"/>
        <w:keepLines w:val="0"/>
        <w:widowControl/>
        <w:suppressLineNumbers w:val="0"/>
        <w:spacing w:before="0" w:beforeAutospacing="0" w:after="0" w:afterAutospacing="0" w:line="480" w:lineRule="exact"/>
        <w:ind w:left="0" w:right="0" w:firstLine="602" w:firstLineChars="200"/>
        <w:jc w:val="left"/>
      </w:pPr>
      <w:r>
        <w:rPr>
          <w:rFonts w:hint="eastAsia" w:ascii="宋体" w:hAnsi="宋体" w:eastAsia="宋体" w:cs="宋体"/>
          <w:b/>
          <w:bCs w:val="0"/>
          <w:kern w:val="0"/>
          <w:sz w:val="30"/>
          <w:szCs w:val="30"/>
          <w:lang w:val="en-US" w:eastAsia="zh-CN" w:bidi="ar"/>
        </w:rPr>
        <w:t>三、计分项目及标准</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hAnsi="仿宋_GB2312" w:eastAsia="仿宋_GB2312" w:cs="仿宋_GB2312"/>
          <w:kern w:val="0"/>
          <w:sz w:val="30"/>
          <w:szCs w:val="30"/>
          <w:lang w:val="en-US" w:eastAsia="zh-CN" w:bidi="ar"/>
        </w:rPr>
        <w:t>项目满分100分，分学历、毕业院校类型、专业类型、所获荣誉、户籍和年龄等六个项目。</w:t>
      </w:r>
    </w:p>
    <w:p>
      <w:pPr>
        <w:keepNext w:val="0"/>
        <w:keepLines w:val="0"/>
        <w:widowControl/>
        <w:suppressLineNumbers w:val="0"/>
        <w:spacing w:before="0" w:beforeAutospacing="0" w:after="0" w:afterAutospacing="0" w:line="480" w:lineRule="exact"/>
        <w:ind w:left="0" w:right="0" w:firstLine="602" w:firstLineChars="200"/>
        <w:jc w:val="left"/>
      </w:pPr>
      <w:r>
        <w:rPr>
          <w:rFonts w:ascii="楷体_GB2312" w:hAnsi="楷体_GB2312" w:eastAsia="楷体_GB2312" w:cs="楷体_GB2312"/>
          <w:b/>
          <w:kern w:val="0"/>
          <w:sz w:val="30"/>
          <w:szCs w:val="30"/>
          <w:lang w:val="en-US" w:eastAsia="zh-CN" w:bidi="ar"/>
        </w:rPr>
        <w:t>1.</w:t>
      </w:r>
      <w:r>
        <w:rPr>
          <w:rFonts w:hint="default" w:ascii="楷体_GB2312" w:hAnsi="楷体_GB2312" w:eastAsia="楷体_GB2312" w:cs="楷体_GB2312"/>
          <w:b/>
          <w:kern w:val="0"/>
          <w:sz w:val="30"/>
          <w:szCs w:val="30"/>
          <w:lang w:val="en-US" w:eastAsia="zh-CN" w:bidi="ar"/>
        </w:rPr>
        <w:t>学历（满分20分）</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eastAsia="仿宋_GB2312" w:cs="仿宋_GB2312" w:hAnsiTheme="minorHAnsi"/>
          <w:bCs/>
          <w:kern w:val="0"/>
          <w:sz w:val="30"/>
          <w:szCs w:val="30"/>
          <w:lang w:val="en-US" w:eastAsia="zh-CN" w:bidi="ar"/>
        </w:rPr>
        <w:t>根据报考者所提供的最高学历资料计一次分。</w:t>
      </w:r>
    </w:p>
    <w:tbl>
      <w:tblP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834"/>
        <w:gridCol w:w="1835"/>
        <w:gridCol w:w="1835"/>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183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最高学历</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硕士及以上</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一本</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二本</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三本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计分分值</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20</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17</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14</w:t>
            </w:r>
          </w:p>
        </w:tc>
        <w:tc>
          <w:tcPr>
            <w:tcW w:w="18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11</w:t>
            </w:r>
          </w:p>
        </w:tc>
      </w:tr>
    </w:tbl>
    <w:p>
      <w:pPr>
        <w:keepNext w:val="0"/>
        <w:keepLines w:val="0"/>
        <w:widowControl/>
        <w:suppressLineNumbers w:val="0"/>
        <w:spacing w:before="0" w:beforeAutospacing="0" w:after="0" w:afterAutospacing="0" w:line="480" w:lineRule="exact"/>
        <w:ind w:left="0" w:right="0" w:firstLine="602" w:firstLineChars="200"/>
        <w:jc w:val="left"/>
      </w:pPr>
      <w:r>
        <w:rPr>
          <w:rFonts w:hint="default" w:ascii="楷体_GB2312" w:hAnsi="楷体_GB2312" w:eastAsia="楷体_GB2312" w:cs="楷体_GB2312"/>
          <w:b/>
          <w:kern w:val="0"/>
          <w:sz w:val="30"/>
          <w:szCs w:val="30"/>
          <w:lang w:val="en-US" w:eastAsia="zh-CN" w:bidi="ar"/>
        </w:rPr>
        <w:t>2.毕业院校类型（满分20分）</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eastAsia="仿宋_GB2312" w:cs="仿宋_GB2312" w:hAnsiTheme="minorHAnsi"/>
          <w:bCs/>
          <w:kern w:val="0"/>
          <w:sz w:val="30"/>
          <w:szCs w:val="30"/>
          <w:lang w:val="en-US" w:eastAsia="zh-CN" w:bidi="ar"/>
        </w:rPr>
        <w:t>根据报考者所提供毕业院校资料计一次分。若出现硕士毕业院校和本科毕业院校不同的情况，按“就高不就低”原则计一次分。</w:t>
      </w:r>
    </w:p>
    <w:tbl>
      <w:tblP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058"/>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毕业院校类型</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985或211工程院校</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其它院校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计分分值</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20</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17</w:t>
            </w:r>
          </w:p>
        </w:tc>
      </w:tr>
    </w:tbl>
    <w:p>
      <w:pPr>
        <w:keepNext w:val="0"/>
        <w:keepLines w:val="0"/>
        <w:widowControl/>
        <w:suppressLineNumbers w:val="0"/>
        <w:spacing w:before="0" w:beforeAutospacing="0" w:after="0" w:afterAutospacing="0" w:line="480" w:lineRule="exact"/>
        <w:ind w:left="0" w:right="0" w:firstLine="602" w:firstLineChars="200"/>
        <w:jc w:val="left"/>
      </w:pPr>
      <w:r>
        <w:rPr>
          <w:rFonts w:hint="default" w:ascii="楷体_GB2312" w:hAnsi="楷体_GB2312" w:eastAsia="楷体_GB2312" w:cs="楷体_GB2312"/>
          <w:b/>
          <w:kern w:val="0"/>
          <w:sz w:val="30"/>
          <w:szCs w:val="30"/>
          <w:lang w:val="en-US" w:eastAsia="zh-CN" w:bidi="ar"/>
        </w:rPr>
        <w:t>3.专业类型（满分15分）</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eastAsia="仿宋_GB2312" w:cs="仿宋_GB2312" w:hAnsiTheme="minorHAnsi"/>
          <w:bCs/>
          <w:kern w:val="0"/>
          <w:sz w:val="30"/>
          <w:szCs w:val="30"/>
          <w:lang w:val="en-US" w:eastAsia="zh-CN" w:bidi="ar"/>
        </w:rPr>
        <w:t>根据报考者提供的毕业证资料计一次分。若报考者同时具有硕士以上和本科毕业证，根据是否具有对口的师范类专业按“就高不就低”原则计一次分。</w:t>
      </w:r>
    </w:p>
    <w:tbl>
      <w:tblP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058"/>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hAnsi="仿宋_GB2312" w:eastAsia="仿宋_GB2312" w:cs="仿宋_GB2312"/>
                <w:kern w:val="0"/>
                <w:sz w:val="30"/>
                <w:szCs w:val="30"/>
                <w:bdr w:val="none" w:color="auto" w:sz="0" w:space="0"/>
                <w:lang w:val="en-US" w:eastAsia="zh-CN" w:bidi="ar"/>
              </w:rPr>
              <w:t>专业类型</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hAnsi="仿宋_GB2312" w:eastAsia="仿宋_GB2312" w:cs="仿宋_GB2312"/>
                <w:kern w:val="0"/>
                <w:sz w:val="30"/>
                <w:szCs w:val="30"/>
                <w:bdr w:val="none" w:color="auto" w:sz="0" w:space="0"/>
                <w:lang w:val="en-US" w:eastAsia="zh-CN" w:bidi="ar"/>
              </w:rPr>
              <w:t>师范类专业</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hAnsi="仿宋_GB2312" w:eastAsia="仿宋_GB2312" w:cs="仿宋_GB2312"/>
                <w:kern w:val="0"/>
                <w:sz w:val="30"/>
                <w:szCs w:val="30"/>
                <w:bdr w:val="none" w:color="auto" w:sz="0" w:space="0"/>
                <w:lang w:val="en-US" w:eastAsia="zh-CN" w:bidi="ar"/>
              </w:rPr>
              <w:t>非师范类专业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hAnsi="仿宋_GB2312" w:eastAsia="仿宋_GB2312" w:cs="仿宋_GB2312"/>
                <w:kern w:val="0"/>
                <w:sz w:val="30"/>
                <w:szCs w:val="30"/>
                <w:bdr w:val="none" w:color="auto" w:sz="0" w:space="0"/>
                <w:lang w:val="en-US" w:eastAsia="zh-CN" w:bidi="ar"/>
              </w:rPr>
              <w:t>计分分值</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hAnsi="仿宋_GB2312" w:eastAsia="仿宋_GB2312" w:cs="仿宋_GB2312"/>
                <w:kern w:val="0"/>
                <w:sz w:val="30"/>
                <w:szCs w:val="30"/>
                <w:bdr w:val="none" w:color="auto" w:sz="0" w:space="0"/>
                <w:lang w:val="en-US" w:eastAsia="zh-CN" w:bidi="ar"/>
              </w:rPr>
              <w:t>15</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hAnsi="仿宋_GB2312" w:eastAsia="仿宋_GB2312" w:cs="仿宋_GB2312"/>
                <w:kern w:val="0"/>
                <w:sz w:val="30"/>
                <w:szCs w:val="30"/>
                <w:bdr w:val="none" w:color="auto" w:sz="0" w:space="0"/>
                <w:lang w:val="en-US" w:eastAsia="zh-CN" w:bidi="ar"/>
              </w:rPr>
              <w:t>12</w:t>
            </w:r>
          </w:p>
        </w:tc>
      </w:tr>
    </w:tbl>
    <w:p>
      <w:pPr>
        <w:keepNext w:val="0"/>
        <w:keepLines w:val="0"/>
        <w:widowControl/>
        <w:suppressLineNumbers w:val="0"/>
        <w:spacing w:before="0" w:beforeAutospacing="0" w:after="0" w:afterAutospacing="0" w:line="480" w:lineRule="exact"/>
        <w:ind w:left="0" w:right="0" w:firstLine="602" w:firstLineChars="200"/>
        <w:jc w:val="left"/>
      </w:pPr>
      <w:r>
        <w:rPr>
          <w:rFonts w:hint="default" w:ascii="楷体_GB2312" w:hAnsi="楷体_GB2312" w:eastAsia="楷体_GB2312" w:cs="楷体_GB2312"/>
          <w:b/>
          <w:kern w:val="0"/>
          <w:sz w:val="30"/>
          <w:szCs w:val="30"/>
          <w:lang w:val="en-US" w:eastAsia="zh-CN" w:bidi="ar"/>
        </w:rPr>
        <w:t>4.所获荣誉（满分20分）</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eastAsia="仿宋_GB2312" w:cs="仿宋_GB2312" w:hAnsiTheme="minorHAnsi"/>
          <w:bCs/>
          <w:kern w:val="0"/>
          <w:sz w:val="30"/>
          <w:szCs w:val="30"/>
          <w:lang w:val="en-US" w:eastAsia="zh-CN" w:bidi="ar"/>
        </w:rPr>
        <w:t>在高校学习期间，获得的不同类型或同一类型但不同年度的荣誉可累计计分，但累计总分不超过20分。同一年度同一类型荣誉获多层次称号（奖项）的（如，同一年度既获国家级又获省级优秀学生干部称号），按照“就高不就低”原则计一次分。未获得下列荣誉的不计分。</w:t>
      </w:r>
    </w:p>
    <w:tbl>
      <w:tblP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737"/>
        <w:gridCol w:w="1609"/>
        <w:gridCol w:w="1609"/>
        <w:gridCol w:w="160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73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荣誉类型</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国家级</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省级</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市级</w:t>
            </w:r>
          </w:p>
        </w:tc>
        <w:tc>
          <w:tcPr>
            <w:tcW w:w="16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73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优秀毕业生</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5</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4</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3</w:t>
            </w:r>
          </w:p>
        </w:tc>
        <w:tc>
          <w:tcPr>
            <w:tcW w:w="16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73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优秀学生干部</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5</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4</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3</w:t>
            </w:r>
          </w:p>
        </w:tc>
        <w:tc>
          <w:tcPr>
            <w:tcW w:w="16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73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奖学金</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5</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4</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3</w:t>
            </w:r>
          </w:p>
        </w:tc>
        <w:tc>
          <w:tcPr>
            <w:tcW w:w="16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273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w w:val="80"/>
                <w:kern w:val="0"/>
                <w:sz w:val="30"/>
                <w:szCs w:val="30"/>
                <w:bdr w:val="none" w:color="auto" w:sz="0" w:space="0"/>
                <w:lang w:val="en-US" w:eastAsia="zh-CN" w:bidi="ar"/>
              </w:rPr>
              <w:t>参加所报考专业类竞赛</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5</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4</w:t>
            </w:r>
          </w:p>
        </w:tc>
        <w:tc>
          <w:tcPr>
            <w:tcW w:w="160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3</w:t>
            </w:r>
          </w:p>
        </w:tc>
        <w:tc>
          <w:tcPr>
            <w:tcW w:w="161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2</w:t>
            </w:r>
          </w:p>
        </w:tc>
      </w:tr>
    </w:tbl>
    <w:p>
      <w:pPr>
        <w:keepNext w:val="0"/>
        <w:keepLines w:val="0"/>
        <w:widowControl/>
        <w:suppressLineNumbers w:val="0"/>
        <w:spacing w:before="0" w:beforeAutospacing="0" w:after="0" w:afterAutospacing="0" w:line="480" w:lineRule="exact"/>
        <w:ind w:left="0" w:right="0" w:firstLine="602" w:firstLineChars="200"/>
        <w:jc w:val="left"/>
      </w:pPr>
      <w:r>
        <w:rPr>
          <w:rFonts w:hint="default" w:ascii="楷体_GB2312" w:hAnsi="楷体_GB2312" w:eastAsia="楷体_GB2312" w:cs="楷体_GB2312"/>
          <w:b/>
          <w:kern w:val="0"/>
          <w:sz w:val="30"/>
          <w:szCs w:val="30"/>
          <w:lang w:val="en-US" w:eastAsia="zh-CN" w:bidi="ar"/>
        </w:rPr>
        <w:t>5.户籍（满分15分）</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eastAsia="仿宋_GB2312" w:cs="仿宋_GB2312" w:hAnsiTheme="minorHAnsi"/>
          <w:bCs/>
          <w:kern w:val="0"/>
          <w:sz w:val="30"/>
          <w:szCs w:val="30"/>
          <w:lang w:val="en-US" w:eastAsia="zh-CN" w:bidi="ar"/>
        </w:rPr>
        <w:t>根据报考者提供的现户籍资料计一次分。</w:t>
      </w:r>
    </w:p>
    <w:tbl>
      <w:tblP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058"/>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户籍类型</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大余籍</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非大余籍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计分分值</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15</w:t>
            </w:r>
          </w:p>
        </w:tc>
        <w:tc>
          <w:tcPr>
            <w:tcW w:w="30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480" w:lineRule="exact"/>
              <w:ind w:left="0" w:right="0"/>
              <w:jc w:val="center"/>
            </w:pPr>
            <w:r>
              <w:rPr>
                <w:rFonts w:hint="default" w:ascii="仿宋_GB2312" w:eastAsia="仿宋_GB2312" w:cs="仿宋_GB2312" w:hAnsiTheme="minorHAnsi"/>
                <w:bCs/>
                <w:kern w:val="0"/>
                <w:sz w:val="30"/>
                <w:szCs w:val="30"/>
                <w:bdr w:val="none" w:color="auto" w:sz="0" w:space="0"/>
                <w:lang w:val="en-US" w:eastAsia="zh-CN" w:bidi="ar"/>
              </w:rPr>
              <w:t>12</w:t>
            </w:r>
          </w:p>
        </w:tc>
      </w:tr>
    </w:tbl>
    <w:p>
      <w:pPr>
        <w:keepNext w:val="0"/>
        <w:keepLines w:val="0"/>
        <w:widowControl/>
        <w:suppressLineNumbers w:val="0"/>
        <w:spacing w:before="0" w:beforeAutospacing="0" w:after="0" w:afterAutospacing="0" w:line="480" w:lineRule="exact"/>
        <w:ind w:left="0" w:right="0" w:firstLine="602" w:firstLineChars="200"/>
        <w:jc w:val="left"/>
      </w:pPr>
      <w:r>
        <w:rPr>
          <w:rFonts w:hint="default" w:ascii="楷体_GB2312" w:hAnsi="楷体_GB2312" w:eastAsia="楷体_GB2312" w:cs="楷体_GB2312"/>
          <w:b/>
          <w:kern w:val="0"/>
          <w:sz w:val="30"/>
          <w:szCs w:val="30"/>
          <w:lang w:val="en-US" w:eastAsia="zh-CN" w:bidi="ar"/>
        </w:rPr>
        <w:t>6、年龄（满分10分）</w:t>
      </w:r>
    </w:p>
    <w:p>
      <w:pPr>
        <w:keepNext w:val="0"/>
        <w:keepLines w:val="0"/>
        <w:widowControl/>
        <w:suppressLineNumbers w:val="0"/>
        <w:spacing w:before="0" w:beforeAutospacing="0" w:after="0" w:afterAutospacing="0" w:line="480" w:lineRule="exact"/>
        <w:ind w:left="0" w:right="0" w:firstLine="600" w:firstLineChars="200"/>
        <w:jc w:val="left"/>
      </w:pPr>
      <w:r>
        <w:rPr>
          <w:rFonts w:hint="default" w:ascii="仿宋_GB2312" w:eastAsia="仿宋_GB2312" w:cs="仿宋_GB2312" w:hAnsiTheme="minorHAnsi"/>
          <w:bCs/>
          <w:kern w:val="0"/>
          <w:sz w:val="30"/>
          <w:szCs w:val="30"/>
          <w:lang w:val="en-US" w:eastAsia="zh-CN" w:bidi="ar"/>
        </w:rPr>
        <w:t>根据报考者年龄计一次分。其中，25周岁及以下的得10分，以此为基线，年龄每大一周岁少1分。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 w:name="汉仪中宋简">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3478C"/>
    <w:rsid w:val="6B1347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2016-02-15T09:49:00Z</dcterms:created>
  <dc:creator>Administrator</dc:creator>
  <cp:lastModifiedBy>Administrator</cp:lastModifiedBy>
  <dcterms:modified xsi:type="dcterms:W3CDTF">2016-02-15T10:22:35Z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