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新宋体" w:hAnsi="新宋体" w:eastAsia="新宋体" w:cs="新宋体"/>
          <w:i w:val="0"/>
          <w:caps w:val="0"/>
          <w:color w:val="000000"/>
          <w:spacing w:val="0"/>
          <w:sz w:val="17"/>
          <w:szCs w:val="17"/>
          <w:shd w:val="clear" w:fill="FFFFFF"/>
        </w:rPr>
        <w:t>网上申报流程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17"/>
          <w:szCs w:val="17"/>
          <w:shd w:val="clear" w:fill="FFFFFF"/>
        </w:rPr>
        <w:t> 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17"/>
          <w:szCs w:val="17"/>
          <w:shd w:val="clear" w:fill="FFFFFF"/>
        </w:rPr>
        <w:t>　　1、登录网上报名系统www.jszg.edu.cn； 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17"/>
          <w:szCs w:val="17"/>
          <w:shd w:val="clear" w:fill="FFFFFF"/>
        </w:rPr>
        <w:t>　　2、点击“网上申报”栏目； 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17"/>
          <w:szCs w:val="17"/>
          <w:shd w:val="clear" w:fill="FFFFFF"/>
        </w:rPr>
        <w:t>　　3、点击注册按钮； 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17"/>
          <w:szCs w:val="17"/>
          <w:shd w:val="clear" w:fill="FFFFFF"/>
        </w:rPr>
        <w:t>　　4、阅读申请人必读。 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17"/>
          <w:szCs w:val="17"/>
          <w:shd w:val="clear" w:fill="FFFFFF"/>
        </w:rPr>
        <w:t>　　5、选择申请认定资格种类、省份和认定机构(初中、小学、幼儿园教师点击：四川-成都市教育局--新都区教育局)。 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17"/>
          <w:szCs w:val="17"/>
          <w:shd w:val="clear" w:fill="FFFFFF"/>
        </w:rPr>
        <w:t>　　6、选择现场确认点(初中、小学、幼儿园教师：新都区教师资格认定指导中心)。 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17"/>
          <w:szCs w:val="17"/>
          <w:shd w:val="clear" w:fill="FFFFFF"/>
        </w:rPr>
        <w:t>　　7、阅读网报注意事项。 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17"/>
          <w:szCs w:val="17"/>
          <w:shd w:val="clear" w:fill="FFFFFF"/>
        </w:rPr>
        <w:t>　　8、填写申请人基本信息。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632BC"/>
    <w:rsid w:val="183632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2019-04-02T06:35:00Z</dcterms:created>
  <dc:creator>ASUS</dc:creator>
  <cp:lastModifiedBy>ASUS</cp:lastModifiedBy>
  <dcterms:modified xsi:type="dcterms:W3CDTF">2019-04-02T06:35:15Z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